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0C" w:rsidRDefault="009C169A" w:rsidP="009C169A">
      <w:pPr>
        <w:tabs>
          <w:tab w:val="left" w:pos="2955"/>
        </w:tabs>
        <w:rPr>
          <w:b/>
          <w:sz w:val="40"/>
          <w:szCs w:val="40"/>
        </w:rPr>
      </w:pPr>
      <w:r>
        <w:t xml:space="preserve">                                                     </w:t>
      </w:r>
      <w:r w:rsidRPr="009C169A">
        <w:rPr>
          <w:b/>
          <w:sz w:val="40"/>
          <w:szCs w:val="40"/>
        </w:rPr>
        <w:t>2018 PREA Annual Report</w:t>
      </w:r>
    </w:p>
    <w:p w:rsidR="009C169A" w:rsidRDefault="009C169A" w:rsidP="009C169A">
      <w:pPr>
        <w:tabs>
          <w:tab w:val="left" w:pos="2955"/>
        </w:tabs>
        <w:rPr>
          <w:sz w:val="28"/>
          <w:szCs w:val="28"/>
        </w:rPr>
      </w:pPr>
      <w:r w:rsidRPr="009C169A">
        <w:rPr>
          <w:sz w:val="28"/>
          <w:szCs w:val="28"/>
        </w:rPr>
        <w:t>The</w:t>
      </w:r>
      <w:r>
        <w:rPr>
          <w:sz w:val="28"/>
          <w:szCs w:val="28"/>
        </w:rPr>
        <w:t xml:space="preserve"> Prison Rape Elimination Act (PREA) was passed by Congress and signed into law by President George W. Bush in 2003 to prevent, detect and respond to sexual abuse that occurs in confinement settings. The National Prison Rape Elimination Commission developed national standards for reducing prison rape, which became final on June 20, 2012, when they were published by the Department</w:t>
      </w:r>
      <w:r w:rsidR="00F406E7">
        <w:rPr>
          <w:sz w:val="28"/>
          <w:szCs w:val="28"/>
        </w:rPr>
        <w:t xml:space="preserve"> of Justice (DOJ) in the Federal Register. PREA applies to adult prisons and jails, juvenile confinement facilities, lockups and community confinement facilities. The MERS/ Goodwill Residential State Halfway House is a community confinement facility operated under contract with the Missouri Department of Corrections, and is governed by the national PREA standards. MERS/Goodwill has a zero tolerance for any incident of rape, sexual assault or sexual misconduct: and makes every effort to comply with applicable components of the Prison Rape Elimination Act (PREA) of 2003.</w:t>
      </w:r>
    </w:p>
    <w:p w:rsidR="00F406E7" w:rsidRDefault="00F406E7" w:rsidP="009C169A">
      <w:pPr>
        <w:tabs>
          <w:tab w:val="left" w:pos="2955"/>
        </w:tabs>
        <w:rPr>
          <w:b/>
          <w:sz w:val="28"/>
          <w:szCs w:val="28"/>
          <w:u w:val="single"/>
        </w:rPr>
      </w:pPr>
      <w:r w:rsidRPr="00F406E7">
        <w:rPr>
          <w:b/>
          <w:sz w:val="28"/>
          <w:szCs w:val="28"/>
          <w:u w:val="single"/>
        </w:rPr>
        <w:t>DEFINITIONS</w:t>
      </w:r>
    </w:p>
    <w:p w:rsidR="00F406E7" w:rsidRDefault="00F406E7" w:rsidP="009C169A">
      <w:pPr>
        <w:tabs>
          <w:tab w:val="left" w:pos="2955"/>
        </w:tabs>
        <w:rPr>
          <w:b/>
          <w:sz w:val="28"/>
          <w:szCs w:val="28"/>
        </w:rPr>
      </w:pPr>
      <w:r w:rsidRPr="00F406E7">
        <w:rPr>
          <w:b/>
          <w:sz w:val="28"/>
          <w:szCs w:val="28"/>
        </w:rPr>
        <w:t>SEXUAL ABUSE</w:t>
      </w:r>
      <w:r w:rsidR="00676751">
        <w:rPr>
          <w:b/>
          <w:sz w:val="28"/>
          <w:szCs w:val="28"/>
        </w:rPr>
        <w:t xml:space="preserve"> </w:t>
      </w:r>
      <w:r w:rsidR="00676751" w:rsidRPr="00676751">
        <w:rPr>
          <w:sz w:val="28"/>
          <w:szCs w:val="28"/>
        </w:rPr>
        <w:t>includes-</w:t>
      </w:r>
    </w:p>
    <w:p w:rsidR="00676751" w:rsidRPr="00676751" w:rsidRDefault="00676751" w:rsidP="00676751">
      <w:pPr>
        <w:pStyle w:val="ListParagraph"/>
        <w:numPr>
          <w:ilvl w:val="0"/>
          <w:numId w:val="1"/>
        </w:numPr>
        <w:tabs>
          <w:tab w:val="left" w:pos="2955"/>
        </w:tabs>
        <w:rPr>
          <w:sz w:val="28"/>
          <w:szCs w:val="28"/>
        </w:rPr>
      </w:pPr>
      <w:r w:rsidRPr="00676751">
        <w:rPr>
          <w:sz w:val="28"/>
          <w:szCs w:val="28"/>
        </w:rPr>
        <w:t>Sexual abuse of a resident by another resident; and</w:t>
      </w:r>
    </w:p>
    <w:p w:rsidR="00676751" w:rsidRDefault="00676751" w:rsidP="00676751">
      <w:pPr>
        <w:pStyle w:val="ListParagraph"/>
        <w:numPr>
          <w:ilvl w:val="0"/>
          <w:numId w:val="1"/>
        </w:numPr>
        <w:tabs>
          <w:tab w:val="left" w:pos="2955"/>
        </w:tabs>
        <w:rPr>
          <w:sz w:val="28"/>
          <w:szCs w:val="28"/>
        </w:rPr>
      </w:pPr>
      <w:r w:rsidRPr="00676751">
        <w:rPr>
          <w:sz w:val="28"/>
          <w:szCs w:val="28"/>
        </w:rPr>
        <w:t>Sexual abuse of a resident by a staff member, contractor, or volunteer.</w:t>
      </w:r>
    </w:p>
    <w:p w:rsidR="00676751" w:rsidRDefault="00676751" w:rsidP="00676751">
      <w:pPr>
        <w:pStyle w:val="ListParagraph"/>
        <w:tabs>
          <w:tab w:val="left" w:pos="2955"/>
        </w:tabs>
        <w:rPr>
          <w:sz w:val="28"/>
          <w:szCs w:val="28"/>
        </w:rPr>
      </w:pPr>
    </w:p>
    <w:p w:rsidR="00676751" w:rsidRDefault="00676751" w:rsidP="00676751">
      <w:pPr>
        <w:rPr>
          <w:sz w:val="28"/>
          <w:szCs w:val="28"/>
        </w:rPr>
      </w:pPr>
      <w:r w:rsidRPr="00676751">
        <w:rPr>
          <w:b/>
          <w:sz w:val="28"/>
          <w:szCs w:val="28"/>
        </w:rPr>
        <w:t>SEXUAL HARRASSMENT</w:t>
      </w:r>
      <w:r>
        <w:rPr>
          <w:b/>
          <w:sz w:val="28"/>
          <w:szCs w:val="28"/>
        </w:rPr>
        <w:t xml:space="preserve"> </w:t>
      </w:r>
      <w:r>
        <w:rPr>
          <w:sz w:val="28"/>
          <w:szCs w:val="28"/>
        </w:rPr>
        <w:t>includes-</w:t>
      </w:r>
    </w:p>
    <w:p w:rsidR="00676751" w:rsidRDefault="00676751" w:rsidP="00676751">
      <w:pPr>
        <w:pStyle w:val="ListParagraph"/>
        <w:numPr>
          <w:ilvl w:val="0"/>
          <w:numId w:val="2"/>
        </w:numPr>
        <w:rPr>
          <w:sz w:val="28"/>
          <w:szCs w:val="28"/>
        </w:rPr>
      </w:pPr>
      <w:r>
        <w:rPr>
          <w:sz w:val="28"/>
          <w:szCs w:val="28"/>
        </w:rPr>
        <w:t xml:space="preserve">Repeated and unwelcomed sexual advances, requests for sexual favors, or verbal comments, gestures, or actions of a derogatory or offensive nature by one resident directed at another; and </w:t>
      </w:r>
    </w:p>
    <w:p w:rsidR="00E3064B" w:rsidRDefault="00E3064B" w:rsidP="00676751">
      <w:pPr>
        <w:pStyle w:val="ListParagraph"/>
        <w:numPr>
          <w:ilvl w:val="0"/>
          <w:numId w:val="2"/>
        </w:numPr>
        <w:rPr>
          <w:sz w:val="28"/>
          <w:szCs w:val="28"/>
        </w:rPr>
      </w:pPr>
      <w:r>
        <w:rPr>
          <w:sz w:val="28"/>
          <w:szCs w:val="28"/>
        </w:rPr>
        <w:t xml:space="preserve">Repeated verbal </w:t>
      </w:r>
      <w:r w:rsidR="00676751">
        <w:rPr>
          <w:sz w:val="28"/>
          <w:szCs w:val="28"/>
        </w:rPr>
        <w:t>comments or gestures of a sexual nature to a resident by a staff member, contractor, or volunteer, including demeaning references to gender, sexually suggestive or derogatory comments about body or clothing, or obscene language or gestures.</w:t>
      </w:r>
    </w:p>
    <w:p w:rsidR="00E3064B" w:rsidRDefault="00E3064B" w:rsidP="00E3064B"/>
    <w:p w:rsidR="00676751" w:rsidRPr="00E3064B" w:rsidRDefault="00E3064B" w:rsidP="00E3064B">
      <w:pPr>
        <w:rPr>
          <w:b/>
          <w:sz w:val="28"/>
          <w:szCs w:val="28"/>
        </w:rPr>
      </w:pPr>
      <w:r w:rsidRPr="00E3064B">
        <w:rPr>
          <w:sz w:val="28"/>
          <w:szCs w:val="28"/>
        </w:rPr>
        <w:t xml:space="preserve">Once a report of sexual abuse, sexual harassment, or voyeurism has been reported and investigated, the incident will be classified using one of the </w:t>
      </w:r>
      <w:r w:rsidRPr="00D33ED7">
        <w:rPr>
          <w:sz w:val="28"/>
          <w:szCs w:val="28"/>
        </w:rPr>
        <w:t>following findings:</w:t>
      </w:r>
    </w:p>
    <w:p w:rsidR="00E3064B" w:rsidRDefault="00E3064B" w:rsidP="00E3064B">
      <w:pPr>
        <w:rPr>
          <w:b/>
          <w:sz w:val="28"/>
          <w:szCs w:val="28"/>
        </w:rPr>
      </w:pPr>
      <w:r w:rsidRPr="00E3064B">
        <w:rPr>
          <w:b/>
          <w:sz w:val="28"/>
          <w:szCs w:val="28"/>
        </w:rPr>
        <w:lastRenderedPageBreak/>
        <w:t>SUBSTANIATED</w:t>
      </w:r>
      <w:r>
        <w:rPr>
          <w:b/>
          <w:sz w:val="28"/>
          <w:szCs w:val="28"/>
        </w:rPr>
        <w:t xml:space="preserve"> </w:t>
      </w:r>
      <w:r>
        <w:rPr>
          <w:sz w:val="28"/>
          <w:szCs w:val="28"/>
        </w:rPr>
        <w:t>- allegation was investigated and determined that the incident occurred.</w:t>
      </w:r>
    </w:p>
    <w:p w:rsidR="00D33ED7" w:rsidRDefault="00E3064B" w:rsidP="00E3064B">
      <w:pPr>
        <w:rPr>
          <w:sz w:val="28"/>
          <w:szCs w:val="28"/>
        </w:rPr>
      </w:pPr>
      <w:r w:rsidRPr="00E3064B">
        <w:rPr>
          <w:b/>
          <w:sz w:val="28"/>
          <w:szCs w:val="28"/>
        </w:rPr>
        <w:t>UNSUBSTANTIATED</w:t>
      </w:r>
      <w:r>
        <w:rPr>
          <w:b/>
          <w:sz w:val="28"/>
          <w:szCs w:val="28"/>
        </w:rPr>
        <w:t xml:space="preserve"> </w:t>
      </w:r>
      <w:r>
        <w:rPr>
          <w:sz w:val="28"/>
          <w:szCs w:val="28"/>
        </w:rPr>
        <w:t>- allegation was investigated and there was insufficient evidence to make a final determination as to whether the incident occurred.</w:t>
      </w:r>
    </w:p>
    <w:p w:rsidR="00F95ED2" w:rsidRDefault="00D33ED7" w:rsidP="00F95ED2">
      <w:pPr>
        <w:jc w:val="center"/>
        <w:rPr>
          <w:rFonts w:asciiTheme="majorHAnsi" w:hAnsiTheme="majorHAnsi"/>
          <w:b/>
          <w:sz w:val="20"/>
          <w:szCs w:val="20"/>
          <w:u w:val="single"/>
        </w:rPr>
      </w:pPr>
      <w:r w:rsidRPr="00D33ED7">
        <w:rPr>
          <w:b/>
          <w:sz w:val="28"/>
          <w:szCs w:val="28"/>
        </w:rPr>
        <w:t xml:space="preserve">UNFOUNDED </w:t>
      </w:r>
      <w:r>
        <w:rPr>
          <w:sz w:val="28"/>
          <w:szCs w:val="28"/>
        </w:rPr>
        <w:t>– allegation was investigated and the incident was determined not to have occurred.</w:t>
      </w:r>
      <w:r w:rsidR="00F95ED2" w:rsidRPr="00F95ED2">
        <w:rPr>
          <w:rFonts w:asciiTheme="majorHAnsi" w:hAnsiTheme="majorHAnsi"/>
          <w:b/>
          <w:sz w:val="20"/>
          <w:szCs w:val="20"/>
          <w:u w:val="single"/>
        </w:rPr>
        <w:t xml:space="preserve"> </w:t>
      </w:r>
    </w:p>
    <w:p w:rsidR="00F95ED2" w:rsidRDefault="00F95ED2" w:rsidP="00F95ED2">
      <w:pPr>
        <w:jc w:val="center"/>
        <w:rPr>
          <w:rFonts w:asciiTheme="majorHAnsi" w:hAnsiTheme="majorHAnsi"/>
          <w:b/>
          <w:sz w:val="20"/>
          <w:szCs w:val="20"/>
          <w:u w:val="single"/>
        </w:rPr>
      </w:pPr>
    </w:p>
    <w:p w:rsidR="00F95ED2" w:rsidRDefault="00F95ED2" w:rsidP="00F95ED2">
      <w:pPr>
        <w:jc w:val="center"/>
        <w:rPr>
          <w:rFonts w:asciiTheme="majorHAnsi" w:hAnsiTheme="majorHAnsi"/>
          <w:b/>
          <w:sz w:val="20"/>
          <w:szCs w:val="20"/>
          <w:u w:val="single"/>
        </w:rPr>
      </w:pPr>
      <w:r>
        <w:rPr>
          <w:rFonts w:asciiTheme="majorHAnsi" w:hAnsiTheme="majorHAnsi"/>
          <w:b/>
          <w:sz w:val="20"/>
          <w:szCs w:val="20"/>
          <w:u w:val="single"/>
        </w:rPr>
        <w:t>Calendar 2017 Incident Reports and Findings:</w:t>
      </w:r>
    </w:p>
    <w:p w:rsidR="00F95ED2" w:rsidRDefault="00F95ED2" w:rsidP="00F95ED2">
      <w:pPr>
        <w:jc w:val="center"/>
        <w:rPr>
          <w:rFonts w:asciiTheme="majorHAnsi" w:hAnsiTheme="majorHAnsi"/>
          <w:b/>
          <w:i/>
          <w:sz w:val="20"/>
          <w:szCs w:val="20"/>
        </w:rPr>
      </w:pPr>
      <w:r>
        <w:rPr>
          <w:rFonts w:asciiTheme="majorHAnsi" w:hAnsiTheme="majorHAnsi"/>
          <w:b/>
          <w:i/>
          <w:sz w:val="20"/>
          <w:szCs w:val="20"/>
        </w:rPr>
        <w:t>Residential Reentry Center</w:t>
      </w:r>
    </w:p>
    <w:tbl>
      <w:tblPr>
        <w:tblStyle w:val="TableGrid"/>
        <w:tblW w:w="0" w:type="auto"/>
        <w:jc w:val="center"/>
        <w:tblLook w:val="04A0" w:firstRow="1" w:lastRow="0" w:firstColumn="1" w:lastColumn="0" w:noHBand="0" w:noVBand="1"/>
      </w:tblPr>
      <w:tblGrid>
        <w:gridCol w:w="1737"/>
        <w:gridCol w:w="1466"/>
        <w:gridCol w:w="1980"/>
        <w:gridCol w:w="1512"/>
        <w:gridCol w:w="2004"/>
      </w:tblGrid>
      <w:tr w:rsidR="00F95ED2" w:rsidTr="00F95ED2">
        <w:trPr>
          <w:jc w:val="center"/>
        </w:trPr>
        <w:tc>
          <w:tcPr>
            <w:tcW w:w="1737" w:type="dxa"/>
            <w:tcBorders>
              <w:top w:val="single" w:sz="4" w:space="0" w:color="auto"/>
              <w:left w:val="single" w:sz="4" w:space="0" w:color="auto"/>
              <w:bottom w:val="single" w:sz="4" w:space="0" w:color="auto"/>
              <w:right w:val="single" w:sz="4" w:space="0" w:color="auto"/>
            </w:tcBorders>
          </w:tcPr>
          <w:p w:rsidR="00F95ED2" w:rsidRDefault="00F95ED2">
            <w:pPr>
              <w:jc w:val="center"/>
              <w:rPr>
                <w:rFonts w:asciiTheme="majorHAnsi" w:hAnsiTheme="majorHAnsi"/>
                <w:b/>
                <w:sz w:val="20"/>
                <w:szCs w:val="20"/>
              </w:rPr>
            </w:pPr>
          </w:p>
        </w:tc>
        <w:tc>
          <w:tcPr>
            <w:tcW w:w="3446" w:type="dxa"/>
            <w:gridSpan w:val="2"/>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Offender-on-Offender</w:t>
            </w:r>
          </w:p>
        </w:tc>
        <w:tc>
          <w:tcPr>
            <w:tcW w:w="3516" w:type="dxa"/>
            <w:gridSpan w:val="2"/>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Staff-on-Offender</w:t>
            </w:r>
          </w:p>
        </w:tc>
      </w:tr>
      <w:tr w:rsidR="00F95ED2" w:rsidTr="00F95ED2">
        <w:trPr>
          <w:jc w:val="center"/>
        </w:trPr>
        <w:tc>
          <w:tcPr>
            <w:tcW w:w="1737" w:type="dxa"/>
            <w:tcBorders>
              <w:top w:val="single" w:sz="4" w:space="0" w:color="auto"/>
              <w:left w:val="single" w:sz="4" w:space="0" w:color="auto"/>
              <w:bottom w:val="single" w:sz="4" w:space="0" w:color="auto"/>
              <w:right w:val="single" w:sz="4" w:space="0" w:color="auto"/>
            </w:tcBorders>
          </w:tcPr>
          <w:p w:rsidR="00F95ED2" w:rsidRDefault="00F95ED2">
            <w:pPr>
              <w:jc w:val="center"/>
              <w:rPr>
                <w:rFonts w:asciiTheme="majorHAnsi" w:hAnsiTheme="majorHAnsi"/>
                <w:b/>
                <w:sz w:val="20"/>
                <w:szCs w:val="20"/>
              </w:rPr>
            </w:pPr>
          </w:p>
        </w:tc>
        <w:tc>
          <w:tcPr>
            <w:tcW w:w="1466"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br w:type="page"/>
              <w:t>Sexual Abuse Reports</w:t>
            </w:r>
          </w:p>
        </w:tc>
        <w:tc>
          <w:tcPr>
            <w:tcW w:w="1980"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Sexual Harassment Reports</w:t>
            </w:r>
          </w:p>
        </w:tc>
        <w:tc>
          <w:tcPr>
            <w:tcW w:w="1512"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Sexual Abuse Reports</w:t>
            </w:r>
          </w:p>
        </w:tc>
        <w:tc>
          <w:tcPr>
            <w:tcW w:w="2004"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Sexual Harassment Reports</w:t>
            </w:r>
          </w:p>
        </w:tc>
      </w:tr>
      <w:tr w:rsidR="00F95ED2" w:rsidTr="00F95ED2">
        <w:trPr>
          <w:jc w:val="center"/>
        </w:trPr>
        <w:tc>
          <w:tcPr>
            <w:tcW w:w="1737"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Substantiated</w:t>
            </w:r>
          </w:p>
        </w:tc>
        <w:tc>
          <w:tcPr>
            <w:tcW w:w="1466"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1980"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1512"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2004"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r>
      <w:tr w:rsidR="00F95ED2" w:rsidTr="00F95ED2">
        <w:trPr>
          <w:jc w:val="center"/>
        </w:trPr>
        <w:tc>
          <w:tcPr>
            <w:tcW w:w="1737"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Unsubstantiated</w:t>
            </w:r>
          </w:p>
        </w:tc>
        <w:tc>
          <w:tcPr>
            <w:tcW w:w="1466"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1980"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1512"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2004"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r>
      <w:tr w:rsidR="00F95ED2" w:rsidTr="00F95ED2">
        <w:trPr>
          <w:jc w:val="center"/>
        </w:trPr>
        <w:tc>
          <w:tcPr>
            <w:tcW w:w="1737"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Unfounded</w:t>
            </w:r>
          </w:p>
        </w:tc>
        <w:tc>
          <w:tcPr>
            <w:tcW w:w="1466"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1980"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1512"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2004"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r>
    </w:tbl>
    <w:p w:rsidR="00F95ED2" w:rsidRDefault="00F95ED2" w:rsidP="00F95ED2">
      <w:pPr>
        <w:rPr>
          <w:rFonts w:asciiTheme="majorHAnsi" w:hAnsiTheme="majorHAnsi"/>
          <w:b/>
          <w:sz w:val="20"/>
          <w:szCs w:val="20"/>
        </w:rPr>
      </w:pPr>
    </w:p>
    <w:p w:rsidR="00F95ED2" w:rsidRDefault="00F95ED2" w:rsidP="00F95ED2">
      <w:pPr>
        <w:jc w:val="center"/>
        <w:rPr>
          <w:rFonts w:asciiTheme="majorHAnsi" w:hAnsiTheme="majorHAnsi"/>
          <w:b/>
          <w:i/>
          <w:sz w:val="20"/>
          <w:szCs w:val="20"/>
        </w:rPr>
      </w:pPr>
      <w:r>
        <w:rPr>
          <w:rFonts w:asciiTheme="majorHAnsi" w:hAnsiTheme="majorHAnsi"/>
          <w:b/>
          <w:i/>
          <w:sz w:val="20"/>
          <w:szCs w:val="20"/>
        </w:rPr>
        <w:t>State Halfway House</w:t>
      </w:r>
    </w:p>
    <w:tbl>
      <w:tblPr>
        <w:tblStyle w:val="TableGrid"/>
        <w:tblW w:w="0" w:type="auto"/>
        <w:jc w:val="center"/>
        <w:tblLook w:val="04A0" w:firstRow="1" w:lastRow="0" w:firstColumn="1" w:lastColumn="0" w:noHBand="0" w:noVBand="1"/>
      </w:tblPr>
      <w:tblGrid>
        <w:gridCol w:w="2040"/>
        <w:gridCol w:w="1466"/>
        <w:gridCol w:w="1980"/>
        <w:gridCol w:w="1512"/>
        <w:gridCol w:w="2004"/>
      </w:tblGrid>
      <w:tr w:rsidR="00F95ED2" w:rsidTr="00F95ED2">
        <w:trPr>
          <w:jc w:val="center"/>
        </w:trPr>
        <w:tc>
          <w:tcPr>
            <w:tcW w:w="2040" w:type="dxa"/>
            <w:tcBorders>
              <w:top w:val="single" w:sz="4" w:space="0" w:color="auto"/>
              <w:left w:val="single" w:sz="4" w:space="0" w:color="auto"/>
              <w:bottom w:val="single" w:sz="4" w:space="0" w:color="auto"/>
              <w:right w:val="single" w:sz="4" w:space="0" w:color="auto"/>
            </w:tcBorders>
          </w:tcPr>
          <w:p w:rsidR="00F95ED2" w:rsidRDefault="00F95ED2">
            <w:pPr>
              <w:jc w:val="center"/>
              <w:rPr>
                <w:rFonts w:asciiTheme="majorHAnsi" w:hAnsiTheme="majorHAnsi"/>
                <w:b/>
                <w:sz w:val="20"/>
                <w:szCs w:val="20"/>
              </w:rPr>
            </w:pPr>
          </w:p>
        </w:tc>
        <w:tc>
          <w:tcPr>
            <w:tcW w:w="3446" w:type="dxa"/>
            <w:gridSpan w:val="2"/>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Offender-on-Offender</w:t>
            </w:r>
          </w:p>
        </w:tc>
        <w:tc>
          <w:tcPr>
            <w:tcW w:w="3516" w:type="dxa"/>
            <w:gridSpan w:val="2"/>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Staff-on-Offender</w:t>
            </w:r>
          </w:p>
        </w:tc>
      </w:tr>
      <w:tr w:rsidR="00F95ED2" w:rsidTr="00F95ED2">
        <w:trPr>
          <w:jc w:val="center"/>
        </w:trPr>
        <w:tc>
          <w:tcPr>
            <w:tcW w:w="2040" w:type="dxa"/>
            <w:tcBorders>
              <w:top w:val="single" w:sz="4" w:space="0" w:color="auto"/>
              <w:left w:val="single" w:sz="4" w:space="0" w:color="auto"/>
              <w:bottom w:val="single" w:sz="4" w:space="0" w:color="auto"/>
              <w:right w:val="single" w:sz="4" w:space="0" w:color="auto"/>
            </w:tcBorders>
          </w:tcPr>
          <w:p w:rsidR="00F95ED2" w:rsidRDefault="00F95ED2">
            <w:pPr>
              <w:jc w:val="center"/>
              <w:rPr>
                <w:rFonts w:asciiTheme="majorHAnsi" w:hAnsiTheme="majorHAnsi"/>
                <w:b/>
                <w:sz w:val="20"/>
                <w:szCs w:val="20"/>
              </w:rPr>
            </w:pPr>
          </w:p>
        </w:tc>
        <w:tc>
          <w:tcPr>
            <w:tcW w:w="1466"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br w:type="page"/>
              <w:t>Sexual Abuse Reports</w:t>
            </w:r>
          </w:p>
        </w:tc>
        <w:tc>
          <w:tcPr>
            <w:tcW w:w="1980"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Sexual Harassment Reports</w:t>
            </w:r>
          </w:p>
        </w:tc>
        <w:tc>
          <w:tcPr>
            <w:tcW w:w="1512"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Sexual Abuse Reports</w:t>
            </w:r>
          </w:p>
        </w:tc>
        <w:tc>
          <w:tcPr>
            <w:tcW w:w="2004"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Sexual Harassment Reports</w:t>
            </w:r>
          </w:p>
        </w:tc>
      </w:tr>
      <w:tr w:rsidR="00F95ED2" w:rsidTr="00F95ED2">
        <w:trPr>
          <w:jc w:val="center"/>
        </w:trPr>
        <w:tc>
          <w:tcPr>
            <w:tcW w:w="2040"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Substantiated</w:t>
            </w:r>
          </w:p>
        </w:tc>
        <w:tc>
          <w:tcPr>
            <w:tcW w:w="1466"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1980"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1512"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2004"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1</w:t>
            </w:r>
          </w:p>
        </w:tc>
      </w:tr>
      <w:tr w:rsidR="00F95ED2" w:rsidTr="00F95ED2">
        <w:trPr>
          <w:jc w:val="center"/>
        </w:trPr>
        <w:tc>
          <w:tcPr>
            <w:tcW w:w="2040"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Unsubstantiated</w:t>
            </w:r>
          </w:p>
        </w:tc>
        <w:tc>
          <w:tcPr>
            <w:tcW w:w="1466"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1980"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1512"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2004"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r>
      <w:tr w:rsidR="00F95ED2" w:rsidTr="00F95ED2">
        <w:trPr>
          <w:jc w:val="center"/>
        </w:trPr>
        <w:tc>
          <w:tcPr>
            <w:tcW w:w="2040"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Unfounded</w:t>
            </w:r>
          </w:p>
        </w:tc>
        <w:tc>
          <w:tcPr>
            <w:tcW w:w="1466"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1980"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1512"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c>
          <w:tcPr>
            <w:tcW w:w="2004" w:type="dxa"/>
            <w:tcBorders>
              <w:top w:val="single" w:sz="4" w:space="0" w:color="auto"/>
              <w:left w:val="single" w:sz="4" w:space="0" w:color="auto"/>
              <w:bottom w:val="single" w:sz="4" w:space="0" w:color="auto"/>
              <w:right w:val="single" w:sz="4" w:space="0" w:color="auto"/>
            </w:tcBorders>
            <w:hideMark/>
          </w:tcPr>
          <w:p w:rsidR="00F95ED2" w:rsidRDefault="00F95ED2">
            <w:pPr>
              <w:jc w:val="center"/>
              <w:rPr>
                <w:rFonts w:asciiTheme="majorHAnsi" w:hAnsiTheme="majorHAnsi"/>
                <w:b/>
                <w:sz w:val="20"/>
                <w:szCs w:val="20"/>
              </w:rPr>
            </w:pPr>
            <w:r>
              <w:rPr>
                <w:rFonts w:asciiTheme="majorHAnsi" w:hAnsiTheme="majorHAnsi"/>
                <w:b/>
                <w:sz w:val="20"/>
                <w:szCs w:val="20"/>
              </w:rPr>
              <w:t>0</w:t>
            </w:r>
          </w:p>
        </w:tc>
      </w:tr>
    </w:tbl>
    <w:p w:rsidR="00E3064B" w:rsidRDefault="00E3064B" w:rsidP="00C50964">
      <w:pPr>
        <w:jc w:val="center"/>
        <w:rPr>
          <w:sz w:val="28"/>
          <w:szCs w:val="28"/>
        </w:rPr>
      </w:pPr>
    </w:p>
    <w:p w:rsidR="00F95ED2" w:rsidRPr="00F95ED2" w:rsidRDefault="00F95ED2" w:rsidP="00F95ED2">
      <w:pPr>
        <w:tabs>
          <w:tab w:val="left" w:pos="2895"/>
        </w:tabs>
        <w:rPr>
          <w:b/>
          <w:i/>
          <w:sz w:val="20"/>
          <w:szCs w:val="20"/>
          <w:u w:val="single"/>
        </w:rPr>
      </w:pPr>
      <w:r w:rsidRPr="00F95ED2">
        <w:rPr>
          <w:b/>
          <w:i/>
          <w:sz w:val="20"/>
          <w:szCs w:val="20"/>
        </w:rPr>
        <w:tab/>
      </w:r>
      <w:r w:rsidRPr="00F95ED2">
        <w:rPr>
          <w:b/>
          <w:i/>
          <w:sz w:val="20"/>
          <w:szCs w:val="20"/>
          <w:u w:val="single"/>
        </w:rPr>
        <w:t>Calendar 2018 Incident reports and Findings</w:t>
      </w:r>
    </w:p>
    <w:p w:rsidR="00051CD2" w:rsidRPr="00F95ED2" w:rsidRDefault="00051CD2" w:rsidP="00C50964">
      <w:pPr>
        <w:jc w:val="center"/>
        <w:rPr>
          <w:b/>
          <w:i/>
          <w:sz w:val="20"/>
          <w:szCs w:val="20"/>
        </w:rPr>
      </w:pPr>
      <w:r w:rsidRPr="00F95ED2">
        <w:rPr>
          <w:b/>
          <w:i/>
          <w:sz w:val="20"/>
          <w:szCs w:val="20"/>
        </w:rPr>
        <w:t>State Halfway House</w:t>
      </w:r>
    </w:p>
    <w:tbl>
      <w:tblPr>
        <w:tblStyle w:val="TableGrid"/>
        <w:tblpPr w:leftFromText="180" w:rightFromText="180" w:vertAnchor="text" w:horzAnchor="margin" w:tblpY="180"/>
        <w:tblW w:w="0" w:type="auto"/>
        <w:tblLook w:val="04A0" w:firstRow="1" w:lastRow="0" w:firstColumn="1" w:lastColumn="0" w:noHBand="0" w:noVBand="1"/>
      </w:tblPr>
      <w:tblGrid>
        <w:gridCol w:w="2155"/>
        <w:gridCol w:w="3600"/>
        <w:gridCol w:w="3595"/>
      </w:tblGrid>
      <w:tr w:rsidR="00C50964" w:rsidRPr="00F95ED2" w:rsidTr="00C50964">
        <w:tc>
          <w:tcPr>
            <w:tcW w:w="2155" w:type="dxa"/>
          </w:tcPr>
          <w:p w:rsidR="00C50964" w:rsidRPr="00F95ED2" w:rsidRDefault="00C50964" w:rsidP="00C50964">
            <w:pPr>
              <w:jc w:val="center"/>
              <w:rPr>
                <w:b/>
                <w:sz w:val="20"/>
                <w:szCs w:val="20"/>
              </w:rPr>
            </w:pPr>
          </w:p>
        </w:tc>
        <w:tc>
          <w:tcPr>
            <w:tcW w:w="3600" w:type="dxa"/>
          </w:tcPr>
          <w:p w:rsidR="00C50964" w:rsidRPr="00F95ED2" w:rsidRDefault="00C50964" w:rsidP="00C50964">
            <w:pPr>
              <w:jc w:val="center"/>
              <w:rPr>
                <w:b/>
                <w:sz w:val="20"/>
                <w:szCs w:val="20"/>
              </w:rPr>
            </w:pPr>
            <w:r w:rsidRPr="00F95ED2">
              <w:rPr>
                <w:b/>
                <w:sz w:val="20"/>
                <w:szCs w:val="20"/>
              </w:rPr>
              <w:t>Offender-on-Offender</w:t>
            </w:r>
          </w:p>
        </w:tc>
        <w:tc>
          <w:tcPr>
            <w:tcW w:w="3595" w:type="dxa"/>
          </w:tcPr>
          <w:p w:rsidR="00C50964" w:rsidRPr="00F95ED2" w:rsidRDefault="00C50964" w:rsidP="00C50964">
            <w:pPr>
              <w:jc w:val="center"/>
              <w:rPr>
                <w:b/>
                <w:sz w:val="20"/>
                <w:szCs w:val="20"/>
              </w:rPr>
            </w:pPr>
            <w:r w:rsidRPr="00F95ED2">
              <w:rPr>
                <w:b/>
                <w:sz w:val="20"/>
                <w:szCs w:val="20"/>
              </w:rPr>
              <w:t>Staff-on-Offender</w:t>
            </w:r>
          </w:p>
        </w:tc>
      </w:tr>
    </w:tbl>
    <w:tbl>
      <w:tblPr>
        <w:tblStyle w:val="TableGrid"/>
        <w:tblW w:w="0" w:type="auto"/>
        <w:tblLook w:val="04A0" w:firstRow="1" w:lastRow="0" w:firstColumn="1" w:lastColumn="0" w:noHBand="0" w:noVBand="1"/>
      </w:tblPr>
      <w:tblGrid>
        <w:gridCol w:w="2105"/>
        <w:gridCol w:w="2019"/>
        <w:gridCol w:w="1604"/>
        <w:gridCol w:w="1811"/>
        <w:gridCol w:w="1811"/>
      </w:tblGrid>
      <w:tr w:rsidR="00C50964" w:rsidRPr="00F95ED2" w:rsidTr="00C50964">
        <w:tc>
          <w:tcPr>
            <w:tcW w:w="2105" w:type="dxa"/>
          </w:tcPr>
          <w:p w:rsidR="00C50964" w:rsidRPr="00F95ED2" w:rsidRDefault="00C50964" w:rsidP="00C50964">
            <w:pPr>
              <w:jc w:val="center"/>
              <w:rPr>
                <w:b/>
                <w:sz w:val="20"/>
                <w:szCs w:val="20"/>
              </w:rPr>
            </w:pPr>
          </w:p>
        </w:tc>
        <w:tc>
          <w:tcPr>
            <w:tcW w:w="2019" w:type="dxa"/>
          </w:tcPr>
          <w:p w:rsidR="00C50964" w:rsidRPr="00F95ED2" w:rsidRDefault="00C50964" w:rsidP="00C50964">
            <w:pPr>
              <w:jc w:val="center"/>
              <w:rPr>
                <w:b/>
                <w:sz w:val="20"/>
                <w:szCs w:val="20"/>
              </w:rPr>
            </w:pPr>
            <w:r w:rsidRPr="00F95ED2">
              <w:rPr>
                <w:b/>
                <w:sz w:val="20"/>
                <w:szCs w:val="20"/>
              </w:rPr>
              <w:t>Sexual Abuse Reports</w:t>
            </w:r>
          </w:p>
        </w:tc>
        <w:tc>
          <w:tcPr>
            <w:tcW w:w="1604" w:type="dxa"/>
          </w:tcPr>
          <w:p w:rsidR="00C50964" w:rsidRPr="00F95ED2" w:rsidRDefault="00C50964" w:rsidP="00C50964">
            <w:pPr>
              <w:jc w:val="center"/>
              <w:rPr>
                <w:b/>
                <w:sz w:val="20"/>
                <w:szCs w:val="20"/>
              </w:rPr>
            </w:pPr>
            <w:r w:rsidRPr="00F95ED2">
              <w:rPr>
                <w:b/>
                <w:sz w:val="20"/>
                <w:szCs w:val="20"/>
              </w:rPr>
              <w:t>Sexual Harassment Reports</w:t>
            </w:r>
          </w:p>
        </w:tc>
        <w:tc>
          <w:tcPr>
            <w:tcW w:w="1811" w:type="dxa"/>
          </w:tcPr>
          <w:p w:rsidR="00C50964" w:rsidRPr="00F95ED2" w:rsidRDefault="00C50964" w:rsidP="00C50964">
            <w:pPr>
              <w:jc w:val="center"/>
              <w:rPr>
                <w:b/>
                <w:sz w:val="20"/>
                <w:szCs w:val="20"/>
              </w:rPr>
            </w:pPr>
            <w:r w:rsidRPr="00F95ED2">
              <w:rPr>
                <w:b/>
                <w:sz w:val="20"/>
                <w:szCs w:val="20"/>
              </w:rPr>
              <w:t>Sexual Abuse Reports</w:t>
            </w:r>
          </w:p>
        </w:tc>
        <w:tc>
          <w:tcPr>
            <w:tcW w:w="1811" w:type="dxa"/>
          </w:tcPr>
          <w:p w:rsidR="00C50964" w:rsidRPr="00F95ED2" w:rsidRDefault="00C50964" w:rsidP="00C50964">
            <w:pPr>
              <w:jc w:val="center"/>
              <w:rPr>
                <w:b/>
                <w:sz w:val="20"/>
                <w:szCs w:val="20"/>
              </w:rPr>
            </w:pPr>
            <w:r w:rsidRPr="00F95ED2">
              <w:rPr>
                <w:b/>
                <w:sz w:val="20"/>
                <w:szCs w:val="20"/>
              </w:rPr>
              <w:t>Sexual Harassment Reports</w:t>
            </w:r>
          </w:p>
        </w:tc>
      </w:tr>
      <w:tr w:rsidR="00C50964" w:rsidRPr="00F95ED2" w:rsidTr="00C50964">
        <w:tc>
          <w:tcPr>
            <w:tcW w:w="2105" w:type="dxa"/>
          </w:tcPr>
          <w:p w:rsidR="00C50964" w:rsidRPr="00F95ED2" w:rsidRDefault="00C50964" w:rsidP="00C50964">
            <w:pPr>
              <w:jc w:val="center"/>
              <w:rPr>
                <w:b/>
                <w:sz w:val="20"/>
                <w:szCs w:val="20"/>
              </w:rPr>
            </w:pPr>
            <w:r w:rsidRPr="00F95ED2">
              <w:rPr>
                <w:b/>
                <w:sz w:val="20"/>
                <w:szCs w:val="20"/>
              </w:rPr>
              <w:t>Substantiated</w:t>
            </w:r>
          </w:p>
        </w:tc>
        <w:tc>
          <w:tcPr>
            <w:tcW w:w="2019" w:type="dxa"/>
          </w:tcPr>
          <w:p w:rsidR="00C50964" w:rsidRPr="00F95ED2" w:rsidRDefault="00C50964" w:rsidP="00C50964">
            <w:pPr>
              <w:jc w:val="center"/>
              <w:rPr>
                <w:b/>
                <w:sz w:val="20"/>
                <w:szCs w:val="20"/>
              </w:rPr>
            </w:pPr>
            <w:r w:rsidRPr="00F95ED2">
              <w:rPr>
                <w:b/>
                <w:sz w:val="20"/>
                <w:szCs w:val="20"/>
              </w:rPr>
              <w:t>0</w:t>
            </w:r>
          </w:p>
        </w:tc>
        <w:tc>
          <w:tcPr>
            <w:tcW w:w="1604" w:type="dxa"/>
          </w:tcPr>
          <w:p w:rsidR="00C50964" w:rsidRPr="00F95ED2" w:rsidRDefault="00C50964" w:rsidP="00C50964">
            <w:pPr>
              <w:jc w:val="center"/>
              <w:rPr>
                <w:b/>
                <w:sz w:val="20"/>
                <w:szCs w:val="20"/>
              </w:rPr>
            </w:pPr>
            <w:r w:rsidRPr="00F95ED2">
              <w:rPr>
                <w:b/>
                <w:sz w:val="20"/>
                <w:szCs w:val="20"/>
              </w:rPr>
              <w:t>1</w:t>
            </w:r>
          </w:p>
        </w:tc>
        <w:tc>
          <w:tcPr>
            <w:tcW w:w="1811" w:type="dxa"/>
          </w:tcPr>
          <w:p w:rsidR="00C50964" w:rsidRPr="00F95ED2" w:rsidRDefault="00C50964" w:rsidP="00C50964">
            <w:pPr>
              <w:jc w:val="center"/>
              <w:rPr>
                <w:b/>
                <w:sz w:val="20"/>
                <w:szCs w:val="20"/>
              </w:rPr>
            </w:pPr>
            <w:r w:rsidRPr="00F95ED2">
              <w:rPr>
                <w:b/>
                <w:sz w:val="20"/>
                <w:szCs w:val="20"/>
              </w:rPr>
              <w:t>0</w:t>
            </w:r>
          </w:p>
        </w:tc>
        <w:tc>
          <w:tcPr>
            <w:tcW w:w="1811" w:type="dxa"/>
          </w:tcPr>
          <w:p w:rsidR="00C50964" w:rsidRPr="00F95ED2" w:rsidRDefault="00C50964" w:rsidP="00C50964">
            <w:pPr>
              <w:jc w:val="center"/>
              <w:rPr>
                <w:b/>
                <w:sz w:val="20"/>
                <w:szCs w:val="20"/>
              </w:rPr>
            </w:pPr>
            <w:r w:rsidRPr="00F95ED2">
              <w:rPr>
                <w:b/>
                <w:sz w:val="20"/>
                <w:szCs w:val="20"/>
              </w:rPr>
              <w:t>0</w:t>
            </w:r>
          </w:p>
        </w:tc>
      </w:tr>
      <w:tr w:rsidR="00C50964" w:rsidRPr="00F95ED2" w:rsidTr="00C50964">
        <w:tc>
          <w:tcPr>
            <w:tcW w:w="2105" w:type="dxa"/>
          </w:tcPr>
          <w:p w:rsidR="00C50964" w:rsidRPr="00F95ED2" w:rsidRDefault="00C50964" w:rsidP="00C50964">
            <w:pPr>
              <w:jc w:val="center"/>
              <w:rPr>
                <w:b/>
                <w:sz w:val="20"/>
                <w:szCs w:val="20"/>
              </w:rPr>
            </w:pPr>
            <w:r w:rsidRPr="00F95ED2">
              <w:rPr>
                <w:b/>
                <w:sz w:val="20"/>
                <w:szCs w:val="20"/>
              </w:rPr>
              <w:t>Unsubstantiated</w:t>
            </w:r>
          </w:p>
        </w:tc>
        <w:tc>
          <w:tcPr>
            <w:tcW w:w="2019" w:type="dxa"/>
          </w:tcPr>
          <w:p w:rsidR="00C50964" w:rsidRPr="00F95ED2" w:rsidRDefault="00C50964" w:rsidP="00C50964">
            <w:pPr>
              <w:jc w:val="center"/>
              <w:rPr>
                <w:b/>
                <w:sz w:val="20"/>
                <w:szCs w:val="20"/>
              </w:rPr>
            </w:pPr>
            <w:r w:rsidRPr="00F95ED2">
              <w:rPr>
                <w:b/>
                <w:sz w:val="20"/>
                <w:szCs w:val="20"/>
              </w:rPr>
              <w:t>0</w:t>
            </w:r>
          </w:p>
        </w:tc>
        <w:tc>
          <w:tcPr>
            <w:tcW w:w="1604" w:type="dxa"/>
          </w:tcPr>
          <w:p w:rsidR="00C50964" w:rsidRPr="00F95ED2" w:rsidRDefault="00C50964" w:rsidP="00C50964">
            <w:pPr>
              <w:jc w:val="center"/>
              <w:rPr>
                <w:b/>
                <w:sz w:val="20"/>
                <w:szCs w:val="20"/>
              </w:rPr>
            </w:pPr>
            <w:r w:rsidRPr="00F95ED2">
              <w:rPr>
                <w:b/>
                <w:sz w:val="20"/>
                <w:szCs w:val="20"/>
              </w:rPr>
              <w:t>0</w:t>
            </w:r>
          </w:p>
        </w:tc>
        <w:tc>
          <w:tcPr>
            <w:tcW w:w="1811" w:type="dxa"/>
          </w:tcPr>
          <w:p w:rsidR="00C50964" w:rsidRPr="00F95ED2" w:rsidRDefault="00C50964" w:rsidP="00C50964">
            <w:pPr>
              <w:jc w:val="center"/>
              <w:rPr>
                <w:b/>
                <w:sz w:val="20"/>
                <w:szCs w:val="20"/>
              </w:rPr>
            </w:pPr>
            <w:r w:rsidRPr="00F95ED2">
              <w:rPr>
                <w:b/>
                <w:sz w:val="20"/>
                <w:szCs w:val="20"/>
              </w:rPr>
              <w:t>0</w:t>
            </w:r>
          </w:p>
        </w:tc>
        <w:tc>
          <w:tcPr>
            <w:tcW w:w="1811" w:type="dxa"/>
          </w:tcPr>
          <w:p w:rsidR="00C50964" w:rsidRPr="00F95ED2" w:rsidRDefault="00C50964" w:rsidP="00C50964">
            <w:pPr>
              <w:jc w:val="center"/>
              <w:rPr>
                <w:b/>
                <w:sz w:val="20"/>
                <w:szCs w:val="20"/>
              </w:rPr>
            </w:pPr>
            <w:r w:rsidRPr="00F95ED2">
              <w:rPr>
                <w:b/>
                <w:sz w:val="20"/>
                <w:szCs w:val="20"/>
              </w:rPr>
              <w:t>0</w:t>
            </w:r>
          </w:p>
        </w:tc>
      </w:tr>
      <w:tr w:rsidR="00C50964" w:rsidRPr="00F95ED2" w:rsidTr="00C50964">
        <w:tc>
          <w:tcPr>
            <w:tcW w:w="2105" w:type="dxa"/>
          </w:tcPr>
          <w:p w:rsidR="00C50964" w:rsidRPr="00F95ED2" w:rsidRDefault="00C50964" w:rsidP="00C50964">
            <w:pPr>
              <w:jc w:val="center"/>
              <w:rPr>
                <w:b/>
                <w:sz w:val="20"/>
                <w:szCs w:val="20"/>
              </w:rPr>
            </w:pPr>
            <w:r w:rsidRPr="00F95ED2">
              <w:rPr>
                <w:b/>
                <w:sz w:val="20"/>
                <w:szCs w:val="20"/>
              </w:rPr>
              <w:t>Unfounded</w:t>
            </w:r>
          </w:p>
        </w:tc>
        <w:tc>
          <w:tcPr>
            <w:tcW w:w="2019" w:type="dxa"/>
          </w:tcPr>
          <w:p w:rsidR="00C50964" w:rsidRPr="00F95ED2" w:rsidRDefault="00C50964" w:rsidP="00C50964">
            <w:pPr>
              <w:jc w:val="center"/>
              <w:rPr>
                <w:b/>
                <w:sz w:val="20"/>
                <w:szCs w:val="20"/>
              </w:rPr>
            </w:pPr>
            <w:r w:rsidRPr="00F95ED2">
              <w:rPr>
                <w:b/>
                <w:sz w:val="20"/>
                <w:szCs w:val="20"/>
              </w:rPr>
              <w:t>0</w:t>
            </w:r>
          </w:p>
        </w:tc>
        <w:tc>
          <w:tcPr>
            <w:tcW w:w="1604" w:type="dxa"/>
          </w:tcPr>
          <w:p w:rsidR="00C50964" w:rsidRPr="00F95ED2" w:rsidRDefault="00C50964" w:rsidP="00C50964">
            <w:pPr>
              <w:jc w:val="center"/>
              <w:rPr>
                <w:b/>
                <w:sz w:val="20"/>
                <w:szCs w:val="20"/>
              </w:rPr>
            </w:pPr>
            <w:r w:rsidRPr="00F95ED2">
              <w:rPr>
                <w:b/>
                <w:sz w:val="20"/>
                <w:szCs w:val="20"/>
              </w:rPr>
              <w:t>0</w:t>
            </w:r>
          </w:p>
        </w:tc>
        <w:tc>
          <w:tcPr>
            <w:tcW w:w="1811" w:type="dxa"/>
          </w:tcPr>
          <w:p w:rsidR="00C50964" w:rsidRPr="00F95ED2" w:rsidRDefault="00C50964" w:rsidP="00C50964">
            <w:pPr>
              <w:jc w:val="center"/>
              <w:rPr>
                <w:b/>
                <w:sz w:val="20"/>
                <w:szCs w:val="20"/>
              </w:rPr>
            </w:pPr>
            <w:r w:rsidRPr="00F95ED2">
              <w:rPr>
                <w:b/>
                <w:sz w:val="20"/>
                <w:szCs w:val="20"/>
              </w:rPr>
              <w:t>0</w:t>
            </w:r>
          </w:p>
        </w:tc>
        <w:tc>
          <w:tcPr>
            <w:tcW w:w="1811" w:type="dxa"/>
          </w:tcPr>
          <w:p w:rsidR="00C50964" w:rsidRPr="00F95ED2" w:rsidRDefault="00C50964" w:rsidP="00C50964">
            <w:pPr>
              <w:jc w:val="center"/>
              <w:rPr>
                <w:b/>
                <w:sz w:val="20"/>
                <w:szCs w:val="20"/>
              </w:rPr>
            </w:pPr>
            <w:r w:rsidRPr="00F95ED2">
              <w:rPr>
                <w:b/>
                <w:sz w:val="20"/>
                <w:szCs w:val="20"/>
              </w:rPr>
              <w:t>0</w:t>
            </w:r>
          </w:p>
        </w:tc>
      </w:tr>
    </w:tbl>
    <w:p w:rsidR="00C50964" w:rsidRDefault="00C50964" w:rsidP="00D33ED7">
      <w:pPr>
        <w:rPr>
          <w:sz w:val="28"/>
          <w:szCs w:val="28"/>
        </w:rPr>
      </w:pPr>
    </w:p>
    <w:p w:rsidR="002B6317" w:rsidRDefault="002B6317" w:rsidP="002B6317">
      <w:pPr>
        <w:rPr>
          <w:b/>
          <w:sz w:val="28"/>
          <w:szCs w:val="28"/>
        </w:rPr>
      </w:pPr>
    </w:p>
    <w:p w:rsidR="00EB0521" w:rsidRDefault="00EB0521" w:rsidP="002B6317">
      <w:pPr>
        <w:rPr>
          <w:sz w:val="28"/>
          <w:szCs w:val="28"/>
        </w:rPr>
      </w:pPr>
    </w:p>
    <w:p w:rsidR="00EB0521" w:rsidRDefault="00EB0521" w:rsidP="00EB0521">
      <w:pPr>
        <w:rPr>
          <w:b/>
          <w:sz w:val="28"/>
          <w:szCs w:val="28"/>
        </w:rPr>
      </w:pPr>
      <w:r w:rsidRPr="00051CD2">
        <w:rPr>
          <w:b/>
          <w:sz w:val="28"/>
          <w:szCs w:val="28"/>
        </w:rPr>
        <w:lastRenderedPageBreak/>
        <w:t>CORRECTIVE ACTION TAKEN</w:t>
      </w:r>
      <w:r>
        <w:rPr>
          <w:b/>
          <w:sz w:val="28"/>
          <w:szCs w:val="28"/>
        </w:rPr>
        <w:t>:</w:t>
      </w:r>
    </w:p>
    <w:p w:rsidR="002B6317" w:rsidRDefault="002B6317" w:rsidP="002B6317">
      <w:pPr>
        <w:rPr>
          <w:sz w:val="28"/>
          <w:szCs w:val="28"/>
        </w:rPr>
      </w:pPr>
      <w:r w:rsidRPr="00051CD2">
        <w:rPr>
          <w:sz w:val="28"/>
          <w:szCs w:val="28"/>
        </w:rPr>
        <w:t>There was one report in calendar year 2018. The report involved a claim of offender</w:t>
      </w:r>
      <w:r>
        <w:rPr>
          <w:sz w:val="28"/>
          <w:szCs w:val="28"/>
        </w:rPr>
        <w:t>-on-</w:t>
      </w:r>
      <w:r w:rsidRPr="00051CD2">
        <w:rPr>
          <w:sz w:val="28"/>
          <w:szCs w:val="28"/>
        </w:rPr>
        <w:t>offender sexual harassment within the State Halfway House</w:t>
      </w:r>
      <w:r>
        <w:rPr>
          <w:sz w:val="28"/>
          <w:szCs w:val="28"/>
        </w:rPr>
        <w:t>. Upon further investigation, the allegation was found to be substantiated and the perpetrator was removed from the facility. In compliance with PREA standards, in 2018, MERS/Goodwill assessed its staffing plan and monitoring systems and will continue using PREA risk assessments to inform housing placement.</w:t>
      </w:r>
    </w:p>
    <w:p w:rsidR="00EB0521" w:rsidRDefault="00EB0521" w:rsidP="00EB0521">
      <w:pPr>
        <w:rPr>
          <w:rFonts w:asciiTheme="majorHAnsi" w:hAnsiTheme="majorHAnsi"/>
          <w:b/>
          <w:sz w:val="28"/>
          <w:szCs w:val="28"/>
        </w:rPr>
      </w:pPr>
    </w:p>
    <w:p w:rsidR="00EB0521" w:rsidRPr="002B6317" w:rsidRDefault="00EB0521" w:rsidP="00EB0521">
      <w:pPr>
        <w:rPr>
          <w:rFonts w:asciiTheme="majorHAnsi" w:hAnsiTheme="majorHAnsi"/>
          <w:sz w:val="28"/>
          <w:szCs w:val="28"/>
        </w:rPr>
      </w:pPr>
      <w:r w:rsidRPr="002B6317">
        <w:rPr>
          <w:rFonts w:asciiTheme="majorHAnsi" w:hAnsiTheme="majorHAnsi"/>
          <w:b/>
          <w:sz w:val="28"/>
          <w:szCs w:val="28"/>
        </w:rPr>
        <w:t>AGENCY PROGRESS IN PREVENTING SEXUAL ABUSE</w:t>
      </w:r>
      <w:r w:rsidRPr="002B6317">
        <w:rPr>
          <w:rFonts w:asciiTheme="majorHAnsi" w:hAnsiTheme="majorHAnsi"/>
          <w:sz w:val="28"/>
          <w:szCs w:val="28"/>
        </w:rPr>
        <w:t>:</w:t>
      </w:r>
    </w:p>
    <w:p w:rsidR="00EB0521" w:rsidRDefault="00EB0521" w:rsidP="00EB0521">
      <w:pPr>
        <w:rPr>
          <w:rFonts w:asciiTheme="majorHAnsi" w:hAnsiTheme="majorHAnsi"/>
          <w:sz w:val="28"/>
          <w:szCs w:val="28"/>
        </w:rPr>
      </w:pPr>
      <w:r w:rsidRPr="002B6317">
        <w:rPr>
          <w:rFonts w:asciiTheme="majorHAnsi" w:hAnsiTheme="majorHAnsi"/>
          <w:sz w:val="28"/>
          <w:szCs w:val="28"/>
        </w:rPr>
        <w:t>MERS Goodwill has taken multiple steps to improve its processes and procedures to prevent sexual abuse. The agency is committed to providing on-going training to staff, volunteers and residents. In 2017 all residential staff attended training on preventing sexual abuse; the tr</w:t>
      </w:r>
      <w:r>
        <w:rPr>
          <w:rFonts w:asciiTheme="majorHAnsi" w:hAnsiTheme="majorHAnsi"/>
          <w:sz w:val="28"/>
          <w:szCs w:val="28"/>
        </w:rPr>
        <w:t>aining focused on the f</w:t>
      </w:r>
      <w:r w:rsidR="00F275E2">
        <w:rPr>
          <w:rFonts w:asciiTheme="majorHAnsi" w:hAnsiTheme="majorHAnsi"/>
          <w:sz w:val="28"/>
          <w:szCs w:val="28"/>
        </w:rPr>
        <w:t>ollowing:</w:t>
      </w:r>
    </w:p>
    <w:p w:rsidR="002B6317" w:rsidRPr="00F275E2" w:rsidRDefault="002B6317" w:rsidP="00F275E2">
      <w:pPr>
        <w:pStyle w:val="ListParagraph"/>
        <w:numPr>
          <w:ilvl w:val="0"/>
          <w:numId w:val="5"/>
        </w:numPr>
        <w:rPr>
          <w:rFonts w:asciiTheme="majorHAnsi" w:hAnsiTheme="majorHAnsi"/>
          <w:sz w:val="28"/>
          <w:szCs w:val="28"/>
        </w:rPr>
      </w:pPr>
      <w:r w:rsidRPr="00F275E2">
        <w:rPr>
          <w:rFonts w:asciiTheme="majorHAnsi" w:hAnsiTheme="majorHAnsi"/>
          <w:sz w:val="28"/>
          <w:szCs w:val="28"/>
        </w:rPr>
        <w:t>The Prison Rape Elimination Act</w:t>
      </w:r>
    </w:p>
    <w:p w:rsidR="002B6317" w:rsidRPr="002B6317" w:rsidRDefault="002B6317" w:rsidP="00F275E2">
      <w:pPr>
        <w:pStyle w:val="ListParagraph"/>
        <w:numPr>
          <w:ilvl w:val="0"/>
          <w:numId w:val="5"/>
        </w:numPr>
        <w:spacing w:after="200" w:line="276" w:lineRule="auto"/>
        <w:rPr>
          <w:rFonts w:asciiTheme="majorHAnsi" w:hAnsiTheme="majorHAnsi"/>
          <w:sz w:val="28"/>
          <w:szCs w:val="28"/>
        </w:rPr>
      </w:pPr>
      <w:r>
        <w:rPr>
          <w:rFonts w:asciiTheme="majorHAnsi" w:hAnsiTheme="majorHAnsi"/>
          <w:sz w:val="28"/>
          <w:szCs w:val="28"/>
        </w:rPr>
        <w:t>Inmates’ Rights to be Free f</w:t>
      </w:r>
      <w:r w:rsidRPr="002B6317">
        <w:rPr>
          <w:rFonts w:asciiTheme="majorHAnsi" w:hAnsiTheme="majorHAnsi"/>
          <w:sz w:val="28"/>
          <w:szCs w:val="28"/>
        </w:rPr>
        <w:t>rom Sexual Abuse and Sexual Harassment</w:t>
      </w:r>
    </w:p>
    <w:p w:rsidR="002B6317" w:rsidRPr="002B6317" w:rsidRDefault="002B6317" w:rsidP="00F275E2">
      <w:pPr>
        <w:pStyle w:val="ListParagraph"/>
        <w:numPr>
          <w:ilvl w:val="0"/>
          <w:numId w:val="5"/>
        </w:numPr>
        <w:spacing w:after="200" w:line="276" w:lineRule="auto"/>
        <w:rPr>
          <w:rFonts w:asciiTheme="majorHAnsi" w:hAnsiTheme="majorHAnsi"/>
          <w:sz w:val="28"/>
          <w:szCs w:val="28"/>
        </w:rPr>
      </w:pPr>
      <w:r w:rsidRPr="002B6317">
        <w:rPr>
          <w:rFonts w:asciiTheme="majorHAnsi" w:hAnsiTheme="majorHAnsi"/>
          <w:sz w:val="28"/>
          <w:szCs w:val="28"/>
        </w:rPr>
        <w:t xml:space="preserve">Inmates’ Rights to be Free from Retaliation for Reporting </w:t>
      </w:r>
    </w:p>
    <w:p w:rsidR="002B6317" w:rsidRPr="002B6317" w:rsidRDefault="002B6317" w:rsidP="00F275E2">
      <w:pPr>
        <w:pStyle w:val="ListParagraph"/>
        <w:numPr>
          <w:ilvl w:val="0"/>
          <w:numId w:val="5"/>
        </w:numPr>
        <w:spacing w:after="200" w:line="276" w:lineRule="auto"/>
        <w:rPr>
          <w:rFonts w:asciiTheme="majorHAnsi" w:hAnsiTheme="majorHAnsi"/>
          <w:sz w:val="28"/>
          <w:szCs w:val="28"/>
        </w:rPr>
      </w:pPr>
      <w:r w:rsidRPr="002B6317">
        <w:rPr>
          <w:rFonts w:asciiTheme="majorHAnsi" w:hAnsiTheme="majorHAnsi"/>
          <w:sz w:val="28"/>
          <w:szCs w:val="28"/>
        </w:rPr>
        <w:t>Prevention and Detection of Sexual Abuse and Sexual Harassment</w:t>
      </w:r>
    </w:p>
    <w:p w:rsidR="002B6317" w:rsidRPr="002B6317" w:rsidRDefault="002B6317" w:rsidP="00F275E2">
      <w:pPr>
        <w:pStyle w:val="ListParagraph"/>
        <w:numPr>
          <w:ilvl w:val="0"/>
          <w:numId w:val="5"/>
        </w:numPr>
        <w:spacing w:after="200" w:line="276" w:lineRule="auto"/>
        <w:rPr>
          <w:rFonts w:asciiTheme="majorHAnsi" w:hAnsiTheme="majorHAnsi"/>
          <w:sz w:val="28"/>
          <w:szCs w:val="28"/>
        </w:rPr>
      </w:pPr>
      <w:r w:rsidRPr="002B6317">
        <w:rPr>
          <w:rFonts w:asciiTheme="majorHAnsi" w:hAnsiTheme="majorHAnsi"/>
          <w:sz w:val="28"/>
          <w:szCs w:val="28"/>
        </w:rPr>
        <w:t xml:space="preserve">Response and Reporting of Sexual Abuse and Sexual Harassment </w:t>
      </w:r>
    </w:p>
    <w:p w:rsidR="002B6317" w:rsidRPr="002B6317" w:rsidRDefault="002B6317" w:rsidP="00F275E2">
      <w:pPr>
        <w:pStyle w:val="ListParagraph"/>
        <w:numPr>
          <w:ilvl w:val="0"/>
          <w:numId w:val="5"/>
        </w:numPr>
        <w:spacing w:after="200" w:line="276" w:lineRule="auto"/>
        <w:rPr>
          <w:rFonts w:asciiTheme="majorHAnsi" w:hAnsiTheme="majorHAnsi"/>
          <w:sz w:val="28"/>
          <w:szCs w:val="28"/>
        </w:rPr>
      </w:pPr>
      <w:r w:rsidRPr="002B6317">
        <w:rPr>
          <w:rFonts w:asciiTheme="majorHAnsi" w:hAnsiTheme="majorHAnsi"/>
          <w:sz w:val="28"/>
          <w:szCs w:val="28"/>
        </w:rPr>
        <w:t>Professional Boundaries</w:t>
      </w:r>
    </w:p>
    <w:p w:rsidR="00F95ED2" w:rsidRPr="00F275E2" w:rsidRDefault="002B6317" w:rsidP="00F275E2">
      <w:pPr>
        <w:pStyle w:val="ListParagraph"/>
        <w:numPr>
          <w:ilvl w:val="0"/>
          <w:numId w:val="5"/>
        </w:numPr>
        <w:rPr>
          <w:b/>
          <w:sz w:val="28"/>
          <w:szCs w:val="28"/>
        </w:rPr>
      </w:pPr>
      <w:r w:rsidRPr="00F275E2">
        <w:rPr>
          <w:rFonts w:asciiTheme="majorHAnsi" w:hAnsiTheme="majorHAnsi"/>
          <w:sz w:val="28"/>
          <w:szCs w:val="28"/>
        </w:rPr>
        <w:t>Effective and Professional Communication with Inmates</w:t>
      </w:r>
    </w:p>
    <w:p w:rsidR="00F95ED2" w:rsidRDefault="00F95ED2" w:rsidP="00D33ED7">
      <w:pPr>
        <w:rPr>
          <w:b/>
          <w:sz w:val="28"/>
          <w:szCs w:val="28"/>
        </w:rPr>
      </w:pPr>
      <w:bookmarkStart w:id="0" w:name="_GoBack"/>
      <w:bookmarkEnd w:id="0"/>
    </w:p>
    <w:p w:rsidR="00F95ED2" w:rsidRDefault="00F95ED2" w:rsidP="00D33ED7">
      <w:pPr>
        <w:rPr>
          <w:b/>
          <w:sz w:val="28"/>
          <w:szCs w:val="28"/>
        </w:rPr>
      </w:pPr>
    </w:p>
    <w:p w:rsidR="00F95ED2" w:rsidRDefault="00F95ED2" w:rsidP="00D33ED7">
      <w:pPr>
        <w:rPr>
          <w:b/>
          <w:sz w:val="28"/>
          <w:szCs w:val="28"/>
        </w:rPr>
      </w:pPr>
    </w:p>
    <w:p w:rsidR="00F95ED2" w:rsidRDefault="00F95ED2" w:rsidP="00D33ED7">
      <w:pPr>
        <w:rPr>
          <w:b/>
          <w:sz w:val="28"/>
          <w:szCs w:val="28"/>
        </w:rPr>
      </w:pPr>
    </w:p>
    <w:p w:rsidR="00AA7EE6" w:rsidRDefault="00AA7EE6" w:rsidP="00D33ED7">
      <w:pPr>
        <w:rPr>
          <w:sz w:val="28"/>
          <w:szCs w:val="28"/>
        </w:rPr>
      </w:pPr>
    </w:p>
    <w:p w:rsidR="00AA7EE6" w:rsidRDefault="00AA7EE6" w:rsidP="00D33ED7">
      <w:pPr>
        <w:rPr>
          <w:sz w:val="28"/>
          <w:szCs w:val="28"/>
        </w:rPr>
      </w:pPr>
    </w:p>
    <w:p w:rsidR="00AA7EE6" w:rsidRPr="00051CD2" w:rsidRDefault="00AA7EE6" w:rsidP="00D33ED7">
      <w:pPr>
        <w:rPr>
          <w:sz w:val="28"/>
          <w:szCs w:val="28"/>
        </w:rPr>
      </w:pPr>
      <w:r>
        <w:rPr>
          <w:sz w:val="28"/>
          <w:szCs w:val="28"/>
        </w:rPr>
        <w:t>Approved by: ___________________________</w:t>
      </w:r>
    </w:p>
    <w:p w:rsidR="00C50964" w:rsidRDefault="00AA7EE6" w:rsidP="00D33ED7">
      <w:pPr>
        <w:rPr>
          <w:sz w:val="28"/>
          <w:szCs w:val="28"/>
        </w:rPr>
      </w:pPr>
      <w:r>
        <w:rPr>
          <w:sz w:val="28"/>
          <w:szCs w:val="28"/>
        </w:rPr>
        <w:t xml:space="preserve">                                    Dave Kutchback, CEO</w:t>
      </w:r>
    </w:p>
    <w:p w:rsidR="00C50964" w:rsidRPr="00D33ED7" w:rsidRDefault="00C50964" w:rsidP="00D33ED7">
      <w:pPr>
        <w:rPr>
          <w:sz w:val="28"/>
          <w:szCs w:val="28"/>
        </w:rPr>
      </w:pPr>
    </w:p>
    <w:sectPr w:rsidR="00C50964" w:rsidRPr="00D33E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B42" w:rsidRDefault="009C7B42" w:rsidP="009C169A">
      <w:pPr>
        <w:spacing w:after="0" w:line="240" w:lineRule="auto"/>
      </w:pPr>
      <w:r>
        <w:separator/>
      </w:r>
    </w:p>
  </w:endnote>
  <w:endnote w:type="continuationSeparator" w:id="0">
    <w:p w:rsidR="009C7B42" w:rsidRDefault="009C7B42" w:rsidP="009C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B42" w:rsidRDefault="009C7B42" w:rsidP="009C169A">
      <w:pPr>
        <w:spacing w:after="0" w:line="240" w:lineRule="auto"/>
      </w:pPr>
      <w:r>
        <w:separator/>
      </w:r>
    </w:p>
  </w:footnote>
  <w:footnote w:type="continuationSeparator" w:id="0">
    <w:p w:rsidR="009C7B42" w:rsidRDefault="009C7B42" w:rsidP="009C1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9A" w:rsidRPr="009C169A" w:rsidRDefault="009C169A">
    <w:pPr>
      <w:pStyle w:val="Header"/>
      <w:rPr>
        <w:b/>
        <w:sz w:val="32"/>
        <w:szCs w:val="32"/>
      </w:rPr>
    </w:pPr>
    <w:r>
      <w:t xml:space="preserve">                                                </w:t>
    </w:r>
    <w:r w:rsidRPr="009C169A">
      <w:rPr>
        <w:b/>
        <w:sz w:val="32"/>
        <w:szCs w:val="32"/>
      </w:rPr>
      <w:t>MERS/Goodwill State Halfway House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72B"/>
    <w:multiLevelType w:val="hybridMultilevel"/>
    <w:tmpl w:val="A3C44716"/>
    <w:lvl w:ilvl="0" w:tplc="D9F8C28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42F86A67"/>
    <w:multiLevelType w:val="hybridMultilevel"/>
    <w:tmpl w:val="0DD2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F03C4"/>
    <w:multiLevelType w:val="hybridMultilevel"/>
    <w:tmpl w:val="33E8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A3007"/>
    <w:multiLevelType w:val="hybridMultilevel"/>
    <w:tmpl w:val="437C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9A"/>
    <w:rsid w:val="00051CD2"/>
    <w:rsid w:val="002B6317"/>
    <w:rsid w:val="00452CD3"/>
    <w:rsid w:val="00676751"/>
    <w:rsid w:val="006B5F0E"/>
    <w:rsid w:val="006D7B0C"/>
    <w:rsid w:val="00834A08"/>
    <w:rsid w:val="009C169A"/>
    <w:rsid w:val="009C7B42"/>
    <w:rsid w:val="009D180C"/>
    <w:rsid w:val="00AA7EE6"/>
    <w:rsid w:val="00C50964"/>
    <w:rsid w:val="00D33ED7"/>
    <w:rsid w:val="00E3064B"/>
    <w:rsid w:val="00EB0521"/>
    <w:rsid w:val="00F275E2"/>
    <w:rsid w:val="00F406E7"/>
    <w:rsid w:val="00F9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34E6"/>
  <w15:chartTrackingRefBased/>
  <w15:docId w15:val="{164BEB5B-9FDA-46BF-9496-7894DCCD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69A"/>
  </w:style>
  <w:style w:type="paragraph" w:styleId="Footer">
    <w:name w:val="footer"/>
    <w:basedOn w:val="Normal"/>
    <w:link w:val="FooterChar"/>
    <w:uiPriority w:val="99"/>
    <w:unhideWhenUsed/>
    <w:rsid w:val="009C1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69A"/>
  </w:style>
  <w:style w:type="paragraph" w:styleId="ListParagraph">
    <w:name w:val="List Paragraph"/>
    <w:basedOn w:val="Normal"/>
    <w:uiPriority w:val="34"/>
    <w:qFormat/>
    <w:rsid w:val="00676751"/>
    <w:pPr>
      <w:ind w:left="720"/>
      <w:contextualSpacing/>
    </w:pPr>
  </w:style>
  <w:style w:type="table" w:styleId="TableGrid">
    <w:name w:val="Table Grid"/>
    <w:basedOn w:val="TableNormal"/>
    <w:uiPriority w:val="39"/>
    <w:rsid w:val="00C5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24488">
      <w:bodyDiv w:val="1"/>
      <w:marLeft w:val="0"/>
      <w:marRight w:val="0"/>
      <w:marTop w:val="0"/>
      <w:marBottom w:val="0"/>
      <w:divBdr>
        <w:top w:val="none" w:sz="0" w:space="0" w:color="auto"/>
        <w:left w:val="none" w:sz="0" w:space="0" w:color="auto"/>
        <w:bottom w:val="none" w:sz="0" w:space="0" w:color="auto"/>
        <w:right w:val="none" w:sz="0" w:space="0" w:color="auto"/>
      </w:divBdr>
    </w:div>
    <w:div w:id="1088037718">
      <w:bodyDiv w:val="1"/>
      <w:marLeft w:val="0"/>
      <w:marRight w:val="0"/>
      <w:marTop w:val="0"/>
      <w:marBottom w:val="0"/>
      <w:divBdr>
        <w:top w:val="none" w:sz="0" w:space="0" w:color="auto"/>
        <w:left w:val="none" w:sz="0" w:space="0" w:color="auto"/>
        <w:bottom w:val="none" w:sz="0" w:space="0" w:color="auto"/>
        <w:right w:val="none" w:sz="0" w:space="0" w:color="auto"/>
      </w:divBdr>
    </w:div>
    <w:div w:id="18487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Woods</dc:creator>
  <cp:keywords/>
  <dc:description/>
  <cp:lastModifiedBy>Terrie Woods</cp:lastModifiedBy>
  <cp:revision>6</cp:revision>
  <cp:lastPrinted>2019-01-03T17:17:00Z</cp:lastPrinted>
  <dcterms:created xsi:type="dcterms:W3CDTF">2018-12-20T19:02:00Z</dcterms:created>
  <dcterms:modified xsi:type="dcterms:W3CDTF">2019-01-03T17:17:00Z</dcterms:modified>
</cp:coreProperties>
</file>